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C0E5" w14:textId="77777777" w:rsidR="00B2293C" w:rsidRDefault="00B2293C" w:rsidP="008A1A6D">
      <w:pPr>
        <w:jc w:val="center"/>
        <w:rPr>
          <w:b/>
          <w:bCs/>
        </w:rPr>
      </w:pPr>
      <w:bookmarkStart w:id="0" w:name="_Hlk111186361"/>
    </w:p>
    <w:p w14:paraId="180F366F" w14:textId="3BDCC6C4" w:rsidR="00455958" w:rsidRDefault="00455958" w:rsidP="008A1A6D">
      <w:pPr>
        <w:jc w:val="center"/>
        <w:rPr>
          <w:b/>
          <w:bCs/>
        </w:rPr>
      </w:pPr>
      <w:r>
        <w:rPr>
          <w:b/>
          <w:bCs/>
        </w:rPr>
        <w:t>NP Transition Programme: Supported Placement for newly registered NPs in PHC</w:t>
      </w:r>
    </w:p>
    <w:p w14:paraId="1AA805DC" w14:textId="2DA40950" w:rsidR="00455958" w:rsidRPr="008A1A6D" w:rsidRDefault="00455958" w:rsidP="008A1A6D">
      <w:pPr>
        <w:jc w:val="center"/>
        <w:rPr>
          <w:b/>
          <w:bCs/>
        </w:rPr>
      </w:pPr>
      <w:r>
        <w:rPr>
          <w:b/>
          <w:bCs/>
        </w:rPr>
        <w:t>Pilot for 2023</w:t>
      </w:r>
    </w:p>
    <w:bookmarkEnd w:id="0"/>
    <w:p w14:paraId="3AF591FA" w14:textId="77777777" w:rsidR="00455958" w:rsidRDefault="00455958">
      <w:r>
        <w:t xml:space="preserve">The funding for the </w:t>
      </w:r>
      <w:r w:rsidRPr="007F3B7E">
        <w:rPr>
          <w:i/>
          <w:iCs/>
        </w:rPr>
        <w:t>NP Transition</w:t>
      </w:r>
      <w:r w:rsidRPr="004452B4">
        <w:rPr>
          <w:i/>
          <w:iCs/>
        </w:rPr>
        <w:t xml:space="preserve"> </w:t>
      </w:r>
      <w:r>
        <w:rPr>
          <w:i/>
          <w:iCs/>
        </w:rPr>
        <w:t>Programme</w:t>
      </w:r>
      <w:r>
        <w:t xml:space="preserve"> has been allocated from the EN/NP Workforce Programme, funded through Te Whatu Ora, to support the transition of newly registered NPs into primary health care settings. </w:t>
      </w:r>
    </w:p>
    <w:p w14:paraId="79EE017A" w14:textId="445621F3" w:rsidR="00455958" w:rsidRDefault="00455958">
      <w:r>
        <w:t xml:space="preserve">A key requirement of this funding is for NPs to deliver holistic models of primary health care that substantively include mental health and addiction, with the explicit purpose of increasing access to services and improving health outcomes and health equity. </w:t>
      </w:r>
    </w:p>
    <w:p w14:paraId="3ABBA779" w14:textId="699EE1A9" w:rsidR="00455958" w:rsidRDefault="00455958">
      <w:r>
        <w:t xml:space="preserve">The intent of the funding is to ensure newly registered NPs have the time and opportunity to be well oriented and integrated into practice. International evidence, and our own experience in Aotearoa, tells us this first year of practice is crucial for the successful establishment of the NP, improves job satisfaction, quality of care, and enables NPs to work autonomously optimising the NP scope of practice. The transition placement provides time for the transition NP to adapt to their new role and scope of practice, consolidate newly acquired skills and accountabilities, and enable the development of their vision for NP practice. </w:t>
      </w:r>
    </w:p>
    <w:p w14:paraId="3E4C7123" w14:textId="77777777" w:rsidR="00D069A4" w:rsidRPr="00FE17D3" w:rsidRDefault="00D069A4" w:rsidP="00D069A4">
      <w:pPr>
        <w:rPr>
          <w:b/>
          <w:bCs/>
        </w:rPr>
      </w:pPr>
      <w:r w:rsidRPr="00FE17D3">
        <w:rPr>
          <w:b/>
          <w:bCs/>
        </w:rPr>
        <w:t>Application form</w:t>
      </w:r>
    </w:p>
    <w:p w14:paraId="159D2AA7" w14:textId="77777777" w:rsidR="00D069A4" w:rsidRDefault="00D069A4" w:rsidP="00D069A4">
      <w:r>
        <w:t>The application form is designed to identify how the NP transition applicant intends to meet the key principles underpinning the EN/NP Workforce Programme:</w:t>
      </w:r>
    </w:p>
    <w:p w14:paraId="497A0177" w14:textId="77777777" w:rsidR="00D069A4" w:rsidRDefault="00D069A4" w:rsidP="00D069A4">
      <w:pPr>
        <w:pStyle w:val="ListParagraph"/>
        <w:numPr>
          <w:ilvl w:val="0"/>
          <w:numId w:val="10"/>
        </w:numPr>
      </w:pPr>
      <w:bookmarkStart w:id="1" w:name="_Hlk118111303"/>
      <w:r>
        <w:t xml:space="preserve">Achieving health equity under the obligations of Te Tiriti o Waitangi </w:t>
      </w:r>
    </w:p>
    <w:p w14:paraId="6896FFEE" w14:textId="77777777" w:rsidR="00D069A4" w:rsidRDefault="00D069A4" w:rsidP="00D069A4">
      <w:pPr>
        <w:pStyle w:val="ListParagraph"/>
        <w:numPr>
          <w:ilvl w:val="0"/>
          <w:numId w:val="10"/>
        </w:numPr>
      </w:pPr>
      <w:r>
        <w:t>Improving healthcare access for marginalised and underserved populations and communities, and particularly increasing access to MH&amp;A care and services</w:t>
      </w:r>
    </w:p>
    <w:p w14:paraId="03E5352A" w14:textId="77777777" w:rsidR="00D069A4" w:rsidRDefault="00D069A4" w:rsidP="00D069A4">
      <w:pPr>
        <w:pStyle w:val="ListParagraph"/>
        <w:numPr>
          <w:ilvl w:val="0"/>
          <w:numId w:val="10"/>
        </w:numPr>
      </w:pPr>
      <w:r>
        <w:t>Developing a model of NP care that optimises the scope of NP practice to promote hauora.</w:t>
      </w:r>
    </w:p>
    <w:bookmarkEnd w:id="1"/>
    <w:p w14:paraId="0B354EB9" w14:textId="05CC42D9" w:rsidR="00D069A4" w:rsidRDefault="00D069A4" w:rsidP="00D069A4">
      <w:r>
        <w:t>The application needs to demonstrate commitment from both the NP transition applicant and the provider to ensure the specifications of the placement are met.</w:t>
      </w:r>
    </w:p>
    <w:p w14:paraId="082D25B9" w14:textId="0C0E2956" w:rsidR="004B093F" w:rsidRDefault="004B093F" w:rsidP="00D069A4">
      <w:r>
        <w:t>There are a limited number of places (25) on this pilot Programme for 2023.</w:t>
      </w:r>
      <w:r w:rsidR="00587A8E">
        <w:t xml:space="preserve"> Applications will close on </w:t>
      </w:r>
      <w:r w:rsidR="00DA4B2E">
        <w:t>Wednesday</w:t>
      </w:r>
      <w:r w:rsidR="00587A8E">
        <w:t xml:space="preserve">, </w:t>
      </w:r>
      <w:r w:rsidR="00DA4B2E">
        <w:t>30</w:t>
      </w:r>
      <w:r w:rsidR="00587A8E">
        <w:t xml:space="preserve"> November at 5pm. Should we need more information, one of the team will contact you to arrange a time to discuss your application.</w:t>
      </w:r>
    </w:p>
    <w:p w14:paraId="1719C71B" w14:textId="77777777" w:rsidR="00D069A4" w:rsidRDefault="00D069A4" w:rsidP="00D069A4">
      <w:pPr>
        <w:rPr>
          <w:b/>
          <w:bCs/>
        </w:rPr>
      </w:pPr>
      <w:r w:rsidRPr="00562E67">
        <w:rPr>
          <w:b/>
          <w:bCs/>
        </w:rPr>
        <w:t>Eligibility for pilot</w:t>
      </w:r>
      <w:r>
        <w:rPr>
          <w:b/>
          <w:bCs/>
        </w:rPr>
        <w:t xml:space="preserve"> transition year</w:t>
      </w:r>
    </w:p>
    <w:p w14:paraId="52F81D9D" w14:textId="77777777" w:rsidR="00D069A4" w:rsidRDefault="00D069A4" w:rsidP="00D069A4">
      <w:r>
        <w:t>Applications are encouraged from all those working in broadly defined areas of primary health care. Prioritisation of applications will include the following:</w:t>
      </w:r>
    </w:p>
    <w:p w14:paraId="139502D4" w14:textId="77777777" w:rsidR="00D069A4" w:rsidRDefault="00D069A4" w:rsidP="00D069A4">
      <w:pPr>
        <w:pStyle w:val="ListParagraph"/>
        <w:numPr>
          <w:ilvl w:val="0"/>
          <w:numId w:val="3"/>
        </w:numPr>
      </w:pPr>
      <w:r>
        <w:t>Māori NPs</w:t>
      </w:r>
    </w:p>
    <w:p w14:paraId="569A3CFB" w14:textId="77777777" w:rsidR="00D069A4" w:rsidRDefault="00D069A4" w:rsidP="00D069A4">
      <w:pPr>
        <w:pStyle w:val="ListParagraph"/>
        <w:numPr>
          <w:ilvl w:val="0"/>
          <w:numId w:val="3"/>
        </w:numPr>
      </w:pPr>
      <w:r>
        <w:t>Pacific NPs</w:t>
      </w:r>
    </w:p>
    <w:p w14:paraId="76224B56" w14:textId="77777777" w:rsidR="00D069A4" w:rsidRDefault="00D069A4" w:rsidP="00D069A4">
      <w:pPr>
        <w:pStyle w:val="ListParagraph"/>
        <w:numPr>
          <w:ilvl w:val="0"/>
          <w:numId w:val="3"/>
        </w:numPr>
      </w:pPr>
      <w:r>
        <w:t>Māori health providers</w:t>
      </w:r>
    </w:p>
    <w:p w14:paraId="1CB12080" w14:textId="77777777" w:rsidR="00D069A4" w:rsidRDefault="00D069A4" w:rsidP="00D069A4">
      <w:pPr>
        <w:pStyle w:val="ListParagraph"/>
        <w:numPr>
          <w:ilvl w:val="0"/>
          <w:numId w:val="3"/>
        </w:numPr>
      </w:pPr>
      <w:r>
        <w:t>Pacific health providers</w:t>
      </w:r>
    </w:p>
    <w:p w14:paraId="52388486" w14:textId="77777777" w:rsidR="00D069A4" w:rsidRDefault="00D069A4" w:rsidP="00D069A4">
      <w:pPr>
        <w:pStyle w:val="ListParagraph"/>
        <w:numPr>
          <w:ilvl w:val="0"/>
          <w:numId w:val="3"/>
        </w:numPr>
      </w:pPr>
      <w:r>
        <w:t>Rural health</w:t>
      </w:r>
    </w:p>
    <w:p w14:paraId="5D40E118" w14:textId="77777777" w:rsidR="00D069A4" w:rsidRDefault="00D069A4" w:rsidP="00D069A4">
      <w:pPr>
        <w:pStyle w:val="ListParagraph"/>
        <w:numPr>
          <w:ilvl w:val="0"/>
          <w:numId w:val="3"/>
        </w:numPr>
      </w:pPr>
      <w:r>
        <w:t>Health providers working with other priority populations</w:t>
      </w:r>
    </w:p>
    <w:p w14:paraId="1D083C73" w14:textId="77777777" w:rsidR="00D069A4" w:rsidRDefault="00D069A4" w:rsidP="00D069A4">
      <w:pPr>
        <w:pStyle w:val="ListParagraph"/>
        <w:numPr>
          <w:ilvl w:val="0"/>
          <w:numId w:val="3"/>
        </w:numPr>
      </w:pPr>
      <w:r>
        <w:t>Specialist mental health and addiction services in the community</w:t>
      </w:r>
    </w:p>
    <w:p w14:paraId="6003BC60" w14:textId="77777777" w:rsidR="00D069A4" w:rsidRDefault="00D069A4" w:rsidP="00D069A4">
      <w:pPr>
        <w:pStyle w:val="ListParagraph"/>
        <w:numPr>
          <w:ilvl w:val="0"/>
          <w:numId w:val="3"/>
        </w:numPr>
      </w:pPr>
      <w:r>
        <w:t>Aged residential care</w:t>
      </w:r>
    </w:p>
    <w:p w14:paraId="0A5E9C59" w14:textId="77777777" w:rsidR="00D069A4" w:rsidRDefault="00D069A4" w:rsidP="00D069A4">
      <w:pPr>
        <w:pStyle w:val="ListParagraph"/>
        <w:numPr>
          <w:ilvl w:val="0"/>
          <w:numId w:val="3"/>
        </w:numPr>
      </w:pPr>
      <w:r>
        <w:lastRenderedPageBreak/>
        <w:t>Primary health care, community health, and services integrating primary and secondary services</w:t>
      </w:r>
    </w:p>
    <w:p w14:paraId="2427FB72" w14:textId="77777777" w:rsidR="00160E90" w:rsidRDefault="00160E90" w:rsidP="00DF21A0">
      <w:pPr>
        <w:rPr>
          <w:b/>
          <w:bCs/>
        </w:rPr>
      </w:pPr>
    </w:p>
    <w:p w14:paraId="4C149410" w14:textId="34E3D9D1" w:rsidR="00455958" w:rsidRPr="00DF21A0" w:rsidRDefault="00455958" w:rsidP="00DF21A0">
      <w:pPr>
        <w:rPr>
          <w:b/>
          <w:bCs/>
        </w:rPr>
      </w:pPr>
      <w:r w:rsidRPr="00DF21A0">
        <w:rPr>
          <w:b/>
          <w:bCs/>
        </w:rPr>
        <w:t>Programme outline</w:t>
      </w:r>
    </w:p>
    <w:p w14:paraId="4C81121D" w14:textId="77777777" w:rsidR="00455958" w:rsidRPr="00DF21A0" w:rsidRDefault="00455958" w:rsidP="00DF21A0">
      <w:pPr>
        <w:pStyle w:val="ListParagraph"/>
        <w:ind w:left="0"/>
        <w:rPr>
          <w:b/>
          <w:bCs/>
        </w:rPr>
      </w:pPr>
      <w:r>
        <w:rPr>
          <w:b/>
          <w:bCs/>
        </w:rPr>
        <w:tab/>
      </w:r>
      <w:r w:rsidRPr="00DF21A0">
        <w:rPr>
          <w:b/>
          <w:bCs/>
        </w:rPr>
        <w:t>Weeks 1-12: Orientation</w:t>
      </w:r>
    </w:p>
    <w:p w14:paraId="0EA0B662" w14:textId="1050370C" w:rsidR="00455958" w:rsidRDefault="00455958" w:rsidP="0038741D">
      <w:pPr>
        <w:pStyle w:val="ListParagraph"/>
      </w:pPr>
      <w:r>
        <w:t>Salary funded for 2 days/week (0.4FTE) to enable:</w:t>
      </w:r>
    </w:p>
    <w:p w14:paraId="46818AE5" w14:textId="77777777" w:rsidR="00455958" w:rsidRDefault="00455958" w:rsidP="00455958">
      <w:pPr>
        <w:pStyle w:val="ListParagraph"/>
        <w:numPr>
          <w:ilvl w:val="0"/>
          <w:numId w:val="11"/>
        </w:numPr>
      </w:pPr>
      <w:r>
        <w:t>Orientation within team, specialist services and local community groups and providers (particularly to support MH&amp;A)</w:t>
      </w:r>
    </w:p>
    <w:p w14:paraId="72BA3CFE" w14:textId="77777777" w:rsidR="00455958" w:rsidRDefault="00455958" w:rsidP="00455958">
      <w:pPr>
        <w:pStyle w:val="ListParagraph"/>
        <w:numPr>
          <w:ilvl w:val="0"/>
          <w:numId w:val="11"/>
        </w:numPr>
      </w:pPr>
      <w:r>
        <w:t>Two half-day meetings with transition cohort</w:t>
      </w:r>
    </w:p>
    <w:p w14:paraId="6DC2D940" w14:textId="77777777" w:rsidR="00455958" w:rsidRDefault="00455958" w:rsidP="00455958">
      <w:pPr>
        <w:pStyle w:val="ListParagraph"/>
        <w:numPr>
          <w:ilvl w:val="0"/>
          <w:numId w:val="11"/>
        </w:numPr>
      </w:pPr>
      <w:r>
        <w:t>30-minute appointments in practice/clinic</w:t>
      </w:r>
    </w:p>
    <w:p w14:paraId="67156B8D" w14:textId="77777777" w:rsidR="00455958" w:rsidRDefault="00455958" w:rsidP="00455958">
      <w:pPr>
        <w:pStyle w:val="ListParagraph"/>
        <w:numPr>
          <w:ilvl w:val="0"/>
          <w:numId w:val="11"/>
        </w:numPr>
      </w:pPr>
      <w:r>
        <w:t>Engagement with regional networks and establish peer support network</w:t>
      </w:r>
      <w:r w:rsidRPr="004D4E01">
        <w:t xml:space="preserve"> </w:t>
      </w:r>
    </w:p>
    <w:p w14:paraId="3BCBF171" w14:textId="0B13FE39" w:rsidR="00455958" w:rsidRDefault="00455958" w:rsidP="0038741D">
      <w:pPr>
        <w:pStyle w:val="ListParagraph"/>
      </w:pPr>
      <w:r>
        <w:t>Availability of senior clinician for clinical support and case reviews (funding contribution)</w:t>
      </w:r>
    </w:p>
    <w:p w14:paraId="30A1A153" w14:textId="0569AAC7" w:rsidR="00455958" w:rsidRDefault="00455958" w:rsidP="0038741D">
      <w:pPr>
        <w:pStyle w:val="ListParagraph"/>
      </w:pPr>
      <w:r>
        <w:t>Professional/cultural supervision established (funding contribution)</w:t>
      </w:r>
    </w:p>
    <w:p w14:paraId="43B6BD2D" w14:textId="77777777" w:rsidR="00455958" w:rsidRDefault="00455958" w:rsidP="0038741D">
      <w:pPr>
        <w:pStyle w:val="ListParagraph"/>
        <w:ind w:left="770"/>
      </w:pPr>
    </w:p>
    <w:p w14:paraId="548440E3" w14:textId="77777777" w:rsidR="00455958" w:rsidRPr="0038741D" w:rsidRDefault="00455958" w:rsidP="0038741D">
      <w:pPr>
        <w:pStyle w:val="ListParagraph"/>
        <w:ind w:left="770"/>
        <w:rPr>
          <w:b/>
          <w:bCs/>
        </w:rPr>
      </w:pPr>
      <w:r w:rsidRPr="0038741D">
        <w:rPr>
          <w:b/>
          <w:bCs/>
        </w:rPr>
        <w:t>Weeks 13-38</w:t>
      </w:r>
    </w:p>
    <w:p w14:paraId="6D4CC1BC" w14:textId="77777777" w:rsidR="00455958" w:rsidRDefault="00455958" w:rsidP="0038741D">
      <w:pPr>
        <w:pStyle w:val="ListParagraph"/>
        <w:ind w:left="770"/>
      </w:pPr>
      <w:r>
        <w:t>Salary funded for 1 day/week (0.2FTE) to enable:</w:t>
      </w:r>
    </w:p>
    <w:p w14:paraId="70BA20A0" w14:textId="34B146F4" w:rsidR="00455958" w:rsidRDefault="00455958" w:rsidP="00455958">
      <w:pPr>
        <w:pStyle w:val="ListParagraph"/>
        <w:numPr>
          <w:ilvl w:val="0"/>
          <w:numId w:val="12"/>
        </w:numPr>
      </w:pPr>
      <w:r>
        <w:t>ongoing networking with community to develop models of NP care, including outreach, evening, community sessions; and must take a substantive role in MH&amp;A (as part of holistic care)</w:t>
      </w:r>
    </w:p>
    <w:p w14:paraId="2F828400" w14:textId="77777777" w:rsidR="00455958" w:rsidRDefault="00455958" w:rsidP="00455958">
      <w:pPr>
        <w:pStyle w:val="ListParagraph"/>
        <w:numPr>
          <w:ilvl w:val="0"/>
          <w:numId w:val="12"/>
        </w:numPr>
      </w:pPr>
      <w:r>
        <w:t>20-minute appointments in practice/clinic</w:t>
      </w:r>
    </w:p>
    <w:p w14:paraId="21F5919F" w14:textId="77777777" w:rsidR="00455958" w:rsidRDefault="00455958" w:rsidP="00455958">
      <w:pPr>
        <w:pStyle w:val="ListParagraph"/>
        <w:numPr>
          <w:ilvl w:val="0"/>
          <w:numId w:val="12"/>
        </w:numPr>
      </w:pPr>
      <w:r>
        <w:t>Attend MH&amp;A online short course through NPNZ</w:t>
      </w:r>
    </w:p>
    <w:p w14:paraId="0AA51E4A" w14:textId="77777777" w:rsidR="00455958" w:rsidRDefault="00455958" w:rsidP="00455958">
      <w:pPr>
        <w:pStyle w:val="ListParagraph"/>
        <w:numPr>
          <w:ilvl w:val="0"/>
          <w:numId w:val="12"/>
        </w:numPr>
      </w:pPr>
      <w:r>
        <w:t xml:space="preserve">Ongoing peer support </w:t>
      </w:r>
    </w:p>
    <w:p w14:paraId="73085E34" w14:textId="64E04432" w:rsidR="00455958" w:rsidRDefault="00455958" w:rsidP="00455958">
      <w:pPr>
        <w:pStyle w:val="ListParagraph"/>
        <w:numPr>
          <w:ilvl w:val="0"/>
          <w:numId w:val="12"/>
        </w:numPr>
      </w:pPr>
      <w:r>
        <w:t>One half-day meeting with transition cohort</w:t>
      </w:r>
    </w:p>
    <w:p w14:paraId="7A075947" w14:textId="399059AA" w:rsidR="00455958" w:rsidRDefault="00455958" w:rsidP="0038741D">
      <w:pPr>
        <w:pStyle w:val="ListParagraph"/>
        <w:ind w:left="770"/>
      </w:pPr>
      <w:r>
        <w:t>Professional/cultural supervision ongoing (funding contribution)</w:t>
      </w:r>
    </w:p>
    <w:p w14:paraId="169DB599" w14:textId="77777777" w:rsidR="00455958" w:rsidRDefault="00455958" w:rsidP="00DF21A0">
      <w:pPr>
        <w:pStyle w:val="ListParagraph"/>
        <w:ind w:left="770"/>
      </w:pPr>
    </w:p>
    <w:p w14:paraId="3B4C59E4" w14:textId="77777777" w:rsidR="00455958" w:rsidRPr="0038741D" w:rsidRDefault="00455958" w:rsidP="0038741D">
      <w:pPr>
        <w:pStyle w:val="ListParagraph"/>
        <w:ind w:left="770"/>
        <w:rPr>
          <w:b/>
          <w:bCs/>
        </w:rPr>
      </w:pPr>
      <w:r w:rsidRPr="0038741D">
        <w:rPr>
          <w:b/>
          <w:bCs/>
        </w:rPr>
        <w:t>Weeks 39-52</w:t>
      </w:r>
    </w:p>
    <w:p w14:paraId="7B215937" w14:textId="77777777" w:rsidR="00455958" w:rsidRDefault="00455958" w:rsidP="00DF21A0">
      <w:pPr>
        <w:pStyle w:val="ListParagraph"/>
        <w:ind w:left="770"/>
      </w:pPr>
      <w:r>
        <w:t>No contribution to salary</w:t>
      </w:r>
    </w:p>
    <w:p w14:paraId="49688792" w14:textId="77777777" w:rsidR="00455958" w:rsidRDefault="00455958" w:rsidP="00DF21A0">
      <w:pPr>
        <w:pStyle w:val="ListParagraph"/>
        <w:ind w:left="770"/>
      </w:pPr>
      <w:r>
        <w:t>Embed NP model of care</w:t>
      </w:r>
    </w:p>
    <w:p w14:paraId="4A25B7CB" w14:textId="77777777" w:rsidR="00455958" w:rsidRDefault="00455958" w:rsidP="00DF21A0">
      <w:pPr>
        <w:pStyle w:val="ListParagraph"/>
        <w:ind w:left="770"/>
      </w:pPr>
      <w:r>
        <w:t>20-minute appointments in practice/clinic</w:t>
      </w:r>
    </w:p>
    <w:p w14:paraId="2408B2BA" w14:textId="77777777" w:rsidR="00455958" w:rsidRDefault="00455958" w:rsidP="00DF21A0">
      <w:pPr>
        <w:pStyle w:val="ListParagraph"/>
        <w:ind w:left="770"/>
      </w:pPr>
      <w:r>
        <w:t>Ongoing peer support, case reviews, professional/cultural supervision (funding contribution)</w:t>
      </w:r>
    </w:p>
    <w:p w14:paraId="7CBD4416" w14:textId="77777777" w:rsidR="00455958" w:rsidRDefault="00455958" w:rsidP="00DF21A0">
      <w:pPr>
        <w:pStyle w:val="ListParagraph"/>
        <w:ind w:left="770"/>
      </w:pPr>
      <w:r>
        <w:t>One half-day meeting with transition cohort</w:t>
      </w:r>
    </w:p>
    <w:p w14:paraId="03E9FAE1" w14:textId="77777777" w:rsidR="00455958" w:rsidRDefault="00455958" w:rsidP="00DF21A0">
      <w:pPr>
        <w:pStyle w:val="ListParagraph"/>
        <w:ind w:left="770"/>
      </w:pPr>
      <w:r>
        <w:t>Contribute (provider and NP) to evaluation</w:t>
      </w:r>
    </w:p>
    <w:p w14:paraId="57D23466" w14:textId="77777777" w:rsidR="00455958" w:rsidRDefault="00455958" w:rsidP="00DF21A0"/>
    <w:p w14:paraId="61677B17" w14:textId="0A07AFAB" w:rsidR="00455958" w:rsidRPr="00B903AE" w:rsidRDefault="00455958" w:rsidP="008D29E8">
      <w:pPr>
        <w:rPr>
          <w:b/>
          <w:bCs/>
        </w:rPr>
      </w:pPr>
      <w:r>
        <w:rPr>
          <w:b/>
          <w:bCs/>
        </w:rPr>
        <w:t>Bibliography</w:t>
      </w:r>
    </w:p>
    <w:p w14:paraId="59E9F9EB" w14:textId="77777777" w:rsidR="00455958" w:rsidRPr="00BD6480" w:rsidRDefault="00455958" w:rsidP="00BD6480">
      <w:pPr>
        <w:pStyle w:val="EndNoteBibliography"/>
        <w:spacing w:after="0"/>
        <w:ind w:left="720" w:hanging="720"/>
      </w:pPr>
      <w:r w:rsidRPr="00BD6480">
        <w:t xml:space="preserve">Adams, S., Boyd, M., Carryer, J., Bareham, C., &amp; Tenbensel, T. (2020). A survey of the NP workforce in primary healthcare settings in New Zealand. </w:t>
      </w:r>
      <w:r w:rsidRPr="00BD6480">
        <w:rPr>
          <w:i/>
        </w:rPr>
        <w:t>New Zealand Medical Journal</w:t>
      </w:r>
      <w:r w:rsidRPr="00BD6480">
        <w:t>,</w:t>
      </w:r>
      <w:r w:rsidRPr="00BD6480">
        <w:rPr>
          <w:i/>
        </w:rPr>
        <w:t xml:space="preserve"> 133</w:t>
      </w:r>
      <w:r w:rsidRPr="00BD6480">
        <w:t xml:space="preserve">(1523), 29-40. </w:t>
      </w:r>
    </w:p>
    <w:p w14:paraId="0025A10A" w14:textId="25BD0AB1" w:rsidR="00455958" w:rsidRPr="00BD6480" w:rsidRDefault="00455958" w:rsidP="00BD6480">
      <w:pPr>
        <w:pStyle w:val="EndNoteBibliography"/>
        <w:spacing w:after="0"/>
        <w:ind w:left="720" w:hanging="720"/>
      </w:pPr>
      <w:r w:rsidRPr="00BD6480">
        <w:t xml:space="preserve">Adams, S., Oster, S., &amp; Davis, J. (2022). The training and education of nurse practitioners in Aotearoa New Zealand: Time for nationwide refresh [Editorial]. </w:t>
      </w:r>
      <w:r w:rsidRPr="00BD6480">
        <w:rPr>
          <w:i/>
        </w:rPr>
        <w:t>Nursing Praxis in Aotearoa New Zealand</w:t>
      </w:r>
      <w:r w:rsidRPr="00BD6480">
        <w:t>,</w:t>
      </w:r>
      <w:r w:rsidRPr="00BD6480">
        <w:rPr>
          <w:i/>
        </w:rPr>
        <w:t xml:space="preserve"> 38</w:t>
      </w:r>
      <w:r w:rsidRPr="00BD6480">
        <w:t xml:space="preserve">(1), 1-4. </w:t>
      </w:r>
      <w:hyperlink r:id="rId7" w:history="1">
        <w:r w:rsidRPr="00044402">
          <w:rPr>
            <w:rStyle w:val="Hyperlink"/>
          </w:rPr>
          <w:t>https://doi.org/10.36951/27034542.2022.01</w:t>
        </w:r>
      </w:hyperlink>
      <w:r>
        <w:t xml:space="preserve"> </w:t>
      </w:r>
      <w:r w:rsidRPr="00BD6480">
        <w:t xml:space="preserve"> </w:t>
      </w:r>
    </w:p>
    <w:p w14:paraId="3E9FA8FE" w14:textId="173CDDF6" w:rsidR="00455958" w:rsidRPr="00BD6480" w:rsidRDefault="00455958" w:rsidP="00BD6480">
      <w:pPr>
        <w:pStyle w:val="EndNoteBibliography"/>
        <w:spacing w:after="0"/>
        <w:ind w:left="720" w:hanging="720"/>
      </w:pPr>
      <w:r w:rsidRPr="00BD6480">
        <w:t>Barnes, H., Covelli, A. F., &amp; Rubright, J. D. (2022). Development of the novice nurse practitioner role transition scale: An exploratory factor analysis</w:t>
      </w:r>
      <w:r>
        <w:t>.</w:t>
      </w:r>
      <w:r w:rsidRPr="00BD6480">
        <w:t xml:space="preserve"> </w:t>
      </w:r>
      <w:r w:rsidRPr="00BD6480">
        <w:rPr>
          <w:i/>
        </w:rPr>
        <w:t>Journal of the American Association of Nurse Practitioners</w:t>
      </w:r>
      <w:r w:rsidRPr="00BD6480">
        <w:t>,</w:t>
      </w:r>
      <w:r w:rsidRPr="00BD6480">
        <w:rPr>
          <w:i/>
        </w:rPr>
        <w:t xml:space="preserve"> 34</w:t>
      </w:r>
      <w:r w:rsidRPr="00BD6480">
        <w:t xml:space="preserve">(1), 79-88. </w:t>
      </w:r>
      <w:hyperlink r:id="rId8" w:history="1">
        <w:r w:rsidRPr="00044402">
          <w:rPr>
            <w:rStyle w:val="Hyperlink"/>
          </w:rPr>
          <w:t>https://doi.org/10.1097/JXX.0000000000000566</w:t>
        </w:r>
      </w:hyperlink>
      <w:r>
        <w:t xml:space="preserve"> </w:t>
      </w:r>
      <w:r w:rsidRPr="00BD6480">
        <w:t xml:space="preserve"> </w:t>
      </w:r>
    </w:p>
    <w:p w14:paraId="0E22E022" w14:textId="0B790426" w:rsidR="00455958" w:rsidRPr="00BD6480" w:rsidRDefault="00455958" w:rsidP="00BD6480">
      <w:pPr>
        <w:pStyle w:val="EndNoteBibliography"/>
        <w:spacing w:after="0"/>
        <w:ind w:left="720" w:hanging="720"/>
      </w:pPr>
      <w:r w:rsidRPr="00BD6480">
        <w:lastRenderedPageBreak/>
        <w:t xml:space="preserve">Black, S., Fadaak, R., &amp; Leslie, M. (2020). Integrating nurse practitioners into primary care: </w:t>
      </w:r>
      <w:r>
        <w:t>P</w:t>
      </w:r>
      <w:r w:rsidRPr="00BD6480">
        <w:t>olicy considerations from a Canadian province</w:t>
      </w:r>
      <w:r>
        <w:t>.</w:t>
      </w:r>
      <w:r w:rsidRPr="00BD6480">
        <w:t xml:space="preserve"> </w:t>
      </w:r>
      <w:r w:rsidRPr="00BD6480">
        <w:rPr>
          <w:i/>
        </w:rPr>
        <w:t>BMC Family Practice</w:t>
      </w:r>
      <w:r w:rsidRPr="00BD6480">
        <w:t>,</w:t>
      </w:r>
      <w:r w:rsidRPr="00BD6480">
        <w:rPr>
          <w:i/>
        </w:rPr>
        <w:t xml:space="preserve"> 21</w:t>
      </w:r>
      <w:r w:rsidRPr="00BD6480">
        <w:t xml:space="preserve">(1), Article 254. </w:t>
      </w:r>
      <w:hyperlink r:id="rId9" w:history="1">
        <w:r w:rsidRPr="00044402">
          <w:rPr>
            <w:rStyle w:val="Hyperlink"/>
          </w:rPr>
          <w:t>https://doi.org/10.1186/s12875-020-01318-3</w:t>
        </w:r>
      </w:hyperlink>
      <w:r>
        <w:t xml:space="preserve"> </w:t>
      </w:r>
      <w:r w:rsidRPr="00BD6480">
        <w:t xml:space="preserve"> </w:t>
      </w:r>
    </w:p>
    <w:p w14:paraId="06DAC19F" w14:textId="5AD78DAE" w:rsidR="00455958" w:rsidRPr="00BD6480" w:rsidRDefault="00455958" w:rsidP="00BD6480">
      <w:pPr>
        <w:pStyle w:val="EndNoteBibliography"/>
        <w:spacing w:after="0"/>
        <w:ind w:left="720" w:hanging="720"/>
      </w:pPr>
      <w:r w:rsidRPr="00BD6480">
        <w:t xml:space="preserve">Carryer, J., &amp; Adams, S. (2017). Nurse practitioners as a solution to transformative and sustainable health services in primary health care: A qualitative exploratory study. </w:t>
      </w:r>
      <w:r w:rsidRPr="00BD6480">
        <w:rPr>
          <w:i/>
        </w:rPr>
        <w:t>Collegian</w:t>
      </w:r>
      <w:r w:rsidRPr="00BD6480">
        <w:t>,</w:t>
      </w:r>
      <w:r w:rsidRPr="00BD6480">
        <w:rPr>
          <w:i/>
        </w:rPr>
        <w:t xml:space="preserve"> 24</w:t>
      </w:r>
      <w:r w:rsidRPr="00BD6480">
        <w:t xml:space="preserve">(6), 525-531. </w:t>
      </w:r>
      <w:hyperlink r:id="rId10" w:history="1">
        <w:r w:rsidRPr="00044402">
          <w:rPr>
            <w:rStyle w:val="Hyperlink"/>
          </w:rPr>
          <w:t>https://doi.org/10.1016/j.colegn.2016.12.001</w:t>
        </w:r>
      </w:hyperlink>
      <w:r>
        <w:t xml:space="preserve"> </w:t>
      </w:r>
      <w:r w:rsidRPr="00BD6480">
        <w:t xml:space="preserve"> </w:t>
      </w:r>
    </w:p>
    <w:p w14:paraId="11429D0C" w14:textId="60219FC6" w:rsidR="00455958" w:rsidRPr="00BD6480" w:rsidRDefault="00455958" w:rsidP="00BD6480">
      <w:pPr>
        <w:pStyle w:val="EndNoteBibliography"/>
        <w:spacing w:after="0"/>
        <w:ind w:left="720" w:hanging="720"/>
      </w:pPr>
      <w:r w:rsidRPr="00BD6480">
        <w:t xml:space="preserve">Carryer, J., &amp; Adams, S. (2022). Valuing the paradigm of nursing: Can nurse practitioners resist medicalization to transform healthcare? [Editorial]. </w:t>
      </w:r>
      <w:r w:rsidRPr="00BD6480">
        <w:rPr>
          <w:i/>
        </w:rPr>
        <w:t>Journal of Advanced Nursing</w:t>
      </w:r>
      <w:r w:rsidRPr="00BD6480">
        <w:t>,</w:t>
      </w:r>
      <w:r w:rsidRPr="00BD6480">
        <w:rPr>
          <w:i/>
        </w:rPr>
        <w:t xml:space="preserve"> 78</w:t>
      </w:r>
      <w:r w:rsidRPr="00BD6480">
        <w:t xml:space="preserve">(2), e36-e38. </w:t>
      </w:r>
      <w:hyperlink r:id="rId11" w:history="1">
        <w:r w:rsidRPr="00044402">
          <w:rPr>
            <w:rStyle w:val="Hyperlink"/>
          </w:rPr>
          <w:t>https://doi.org/10.1111/jan.15082</w:t>
        </w:r>
      </w:hyperlink>
      <w:r>
        <w:t xml:space="preserve"> </w:t>
      </w:r>
      <w:r w:rsidRPr="00BD6480">
        <w:t xml:space="preserve"> </w:t>
      </w:r>
    </w:p>
    <w:p w14:paraId="438F963F" w14:textId="559A274B" w:rsidR="00455958" w:rsidRPr="00BD6480" w:rsidRDefault="00455958" w:rsidP="00BD6480">
      <w:pPr>
        <w:pStyle w:val="EndNoteBibliography"/>
        <w:spacing w:after="0"/>
        <w:ind w:left="720" w:hanging="720"/>
      </w:pPr>
      <w:r w:rsidRPr="00BD6480">
        <w:t>Chouinard, V., Contandriopoulos, D., Perroux, M., &amp; Larouche, C. (2017). Supporting nurse practitioners' practice in primary healthcare settings: A three-level qualitative model</w:t>
      </w:r>
      <w:r>
        <w:t>.</w:t>
      </w:r>
      <w:r w:rsidRPr="00BD6480">
        <w:t xml:space="preserve"> </w:t>
      </w:r>
      <w:r w:rsidRPr="00BD6480">
        <w:rPr>
          <w:i/>
        </w:rPr>
        <w:t>BMC Health Services Research</w:t>
      </w:r>
      <w:r w:rsidRPr="00BD6480">
        <w:t>,</w:t>
      </w:r>
      <w:r w:rsidRPr="00BD6480">
        <w:rPr>
          <w:i/>
        </w:rPr>
        <w:t xml:space="preserve"> 17</w:t>
      </w:r>
      <w:r w:rsidRPr="00BD6480">
        <w:t xml:space="preserve">(1), Article 437. </w:t>
      </w:r>
      <w:hyperlink r:id="rId12" w:history="1">
        <w:r w:rsidRPr="00044402">
          <w:rPr>
            <w:rStyle w:val="Hyperlink"/>
          </w:rPr>
          <w:t>https://doi.org/10.1186/s12913-017-2363-4</w:t>
        </w:r>
      </w:hyperlink>
      <w:r>
        <w:t xml:space="preserve"> </w:t>
      </w:r>
      <w:r w:rsidRPr="00BD6480">
        <w:t xml:space="preserve"> </w:t>
      </w:r>
    </w:p>
    <w:p w14:paraId="3A730554" w14:textId="398C01CC" w:rsidR="00455958" w:rsidRPr="00BD6480" w:rsidRDefault="00455958" w:rsidP="00BD6480">
      <w:pPr>
        <w:pStyle w:val="EndNoteBibliography"/>
        <w:spacing w:after="0"/>
        <w:ind w:left="720" w:hanging="720"/>
      </w:pPr>
      <w:r w:rsidRPr="00BD6480">
        <w:t xml:space="preserve">Contandriopoulos, D., Brousselle, A., Dubois, C. A., Perroux, M., Beaulieu, M. D., Brault, I., Kilpatrick, K., D'Amour, D., &amp; Sansgter-Gormley, E. (2015). A process-based framework to guide nurse practitioners integration into primary healthcare teams: Results from a logic analysis Organization, structure and delivery of healthcare. </w:t>
      </w:r>
      <w:r w:rsidRPr="00BD6480">
        <w:rPr>
          <w:i/>
        </w:rPr>
        <w:t>BMC Health Services Research</w:t>
      </w:r>
      <w:r w:rsidRPr="00BD6480">
        <w:t>,</w:t>
      </w:r>
      <w:r w:rsidRPr="00BD6480">
        <w:rPr>
          <w:i/>
        </w:rPr>
        <w:t xml:space="preserve"> 15</w:t>
      </w:r>
      <w:r w:rsidRPr="00BD6480">
        <w:t xml:space="preserve">(1), Article 78. </w:t>
      </w:r>
      <w:hyperlink r:id="rId13" w:history="1">
        <w:r w:rsidRPr="00044402">
          <w:rPr>
            <w:rStyle w:val="Hyperlink"/>
          </w:rPr>
          <w:t>https://doi.org/10.1186/s12913-015-0731-5</w:t>
        </w:r>
      </w:hyperlink>
      <w:r>
        <w:t xml:space="preserve"> </w:t>
      </w:r>
      <w:r w:rsidRPr="00BD6480">
        <w:t xml:space="preserve"> </w:t>
      </w:r>
    </w:p>
    <w:p w14:paraId="69A02C13" w14:textId="314EF8C2" w:rsidR="00455958" w:rsidRPr="00BD6480" w:rsidRDefault="00455958" w:rsidP="00BD6480">
      <w:pPr>
        <w:pStyle w:val="EndNoteBibliography"/>
        <w:spacing w:after="0"/>
        <w:ind w:left="720" w:hanging="720"/>
      </w:pPr>
      <w:r w:rsidRPr="00BD6480">
        <w:t>Faraz, A. (2019). Facilitators and barriers to the novice nurse practitioner workforce transition in primary care</w:t>
      </w:r>
      <w:r>
        <w:t>.</w:t>
      </w:r>
      <w:r w:rsidRPr="00BD6480">
        <w:t xml:space="preserve"> </w:t>
      </w:r>
      <w:r w:rsidRPr="00BD6480">
        <w:rPr>
          <w:i/>
        </w:rPr>
        <w:t>Journal of the American Association of Nurse Practitioners</w:t>
      </w:r>
      <w:r w:rsidRPr="00BD6480">
        <w:t>,</w:t>
      </w:r>
      <w:r w:rsidRPr="00BD6480">
        <w:rPr>
          <w:i/>
        </w:rPr>
        <w:t xml:space="preserve"> 31</w:t>
      </w:r>
      <w:r w:rsidRPr="00BD6480">
        <w:t xml:space="preserve">(6), 364-370. </w:t>
      </w:r>
      <w:hyperlink r:id="rId14" w:history="1">
        <w:r w:rsidRPr="00044402">
          <w:rPr>
            <w:rStyle w:val="Hyperlink"/>
          </w:rPr>
          <w:t>https://doi.org/10.1097/JXX.0000000000000158</w:t>
        </w:r>
      </w:hyperlink>
      <w:r>
        <w:t xml:space="preserve"> </w:t>
      </w:r>
      <w:r w:rsidRPr="00BD6480">
        <w:t xml:space="preserve"> </w:t>
      </w:r>
    </w:p>
    <w:p w14:paraId="40C7B676" w14:textId="4F5253AB" w:rsidR="00455958" w:rsidRPr="00BD6480" w:rsidRDefault="00455958" w:rsidP="00BD6480">
      <w:pPr>
        <w:pStyle w:val="EndNoteBibliography"/>
        <w:spacing w:after="0"/>
        <w:ind w:left="720" w:hanging="720"/>
      </w:pPr>
      <w:r w:rsidRPr="00BD6480">
        <w:t xml:space="preserve">Wood, S. K. (2020). Keeping the nurse in the nurse practitioner: Returning to our disciplinary roots of knowing in nursing. </w:t>
      </w:r>
      <w:r w:rsidRPr="00BD6480">
        <w:rPr>
          <w:i/>
        </w:rPr>
        <w:t>Advances in Nursing Science</w:t>
      </w:r>
      <w:r w:rsidRPr="00BD6480">
        <w:t>,</w:t>
      </w:r>
      <w:r w:rsidRPr="00BD6480">
        <w:rPr>
          <w:i/>
        </w:rPr>
        <w:t xml:space="preserve"> 43</w:t>
      </w:r>
      <w:r w:rsidRPr="00BD6480">
        <w:t xml:space="preserve">(1), 50-61. </w:t>
      </w:r>
      <w:hyperlink r:id="rId15" w:history="1">
        <w:r w:rsidRPr="00044402">
          <w:rPr>
            <w:rStyle w:val="Hyperlink"/>
          </w:rPr>
          <w:t>https://doi.org/10.1097/ANS.0000000000000301</w:t>
        </w:r>
      </w:hyperlink>
      <w:r>
        <w:t xml:space="preserve"> </w:t>
      </w:r>
      <w:r w:rsidRPr="00BD6480">
        <w:t xml:space="preserve"> </w:t>
      </w:r>
    </w:p>
    <w:p w14:paraId="5CE65A32" w14:textId="0A95272B" w:rsidR="008F1ED5" w:rsidRDefault="00455958" w:rsidP="00455958">
      <w:pPr>
        <w:pStyle w:val="EndNoteBibliography"/>
        <w:ind w:left="720" w:hanging="720"/>
      </w:pPr>
      <w:r w:rsidRPr="00BD6480">
        <w:t xml:space="preserve">Xue, Y., &amp; Intrator, O. (2016). Cultivating the role of nurse practitioners in providing primary care to vulnerable populations in an era of health-care reform. </w:t>
      </w:r>
      <w:r w:rsidRPr="00BD6480">
        <w:rPr>
          <w:i/>
        </w:rPr>
        <w:t>Policy, Politics, and Nursing Practice</w:t>
      </w:r>
      <w:r w:rsidRPr="00BD6480">
        <w:t>,</w:t>
      </w:r>
      <w:r w:rsidRPr="00BD6480">
        <w:rPr>
          <w:i/>
        </w:rPr>
        <w:t xml:space="preserve"> 17</w:t>
      </w:r>
      <w:r w:rsidRPr="00BD6480">
        <w:t xml:space="preserve">(1), 24-31. </w:t>
      </w:r>
    </w:p>
    <w:sectPr w:rsidR="008F1ED5" w:rsidSect="00587A8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2F91" w14:textId="77777777" w:rsidR="00B35231" w:rsidRDefault="00B35231" w:rsidP="00455958">
      <w:pPr>
        <w:spacing w:after="0" w:line="240" w:lineRule="auto"/>
      </w:pPr>
      <w:r>
        <w:separator/>
      </w:r>
    </w:p>
  </w:endnote>
  <w:endnote w:type="continuationSeparator" w:id="0">
    <w:p w14:paraId="536AD086" w14:textId="77777777" w:rsidR="00B35231" w:rsidRDefault="00B35231" w:rsidP="0045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FB8E" w14:textId="77777777" w:rsidR="00B2293C" w:rsidRDefault="00B22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7E4F" w14:textId="2A143F37" w:rsidR="000943FB" w:rsidRPr="000943FB" w:rsidRDefault="00455958" w:rsidP="00606E8C">
    <w:pPr>
      <w:pStyle w:val="Footer"/>
      <w:jc w:val="right"/>
      <w:rPr>
        <w:lang w:val="en-US"/>
      </w:rPr>
    </w:pPr>
    <w:r>
      <w:rPr>
        <w:lang w:val="en-US"/>
      </w:rPr>
      <w:t>Information</w:t>
    </w:r>
    <w:r w:rsidR="00505072">
      <w:rPr>
        <w:lang w:val="en-US"/>
      </w:rPr>
      <w:t xml:space="preserve"> NP </w:t>
    </w:r>
    <w:r>
      <w:rPr>
        <w:lang w:val="en-US"/>
      </w:rPr>
      <w:t>T</w:t>
    </w:r>
    <w:r w:rsidR="00505072">
      <w:rPr>
        <w:lang w:val="en-US"/>
      </w:rPr>
      <w:t xml:space="preserve">ransition </w:t>
    </w:r>
    <w:r>
      <w:rPr>
        <w:lang w:val="en-US"/>
      </w:rPr>
      <w:t>P</w:t>
    </w:r>
    <w:r w:rsidR="00505072">
      <w:rPr>
        <w:lang w:val="en-US"/>
      </w:rPr>
      <w:t>rogramme for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5E3B" w14:textId="77777777" w:rsidR="00B2293C" w:rsidRDefault="00B22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C032" w14:textId="77777777" w:rsidR="00B35231" w:rsidRDefault="00B35231" w:rsidP="00455958">
      <w:pPr>
        <w:spacing w:after="0" w:line="240" w:lineRule="auto"/>
      </w:pPr>
      <w:r>
        <w:separator/>
      </w:r>
    </w:p>
  </w:footnote>
  <w:footnote w:type="continuationSeparator" w:id="0">
    <w:p w14:paraId="730A635C" w14:textId="77777777" w:rsidR="00B35231" w:rsidRDefault="00B35231" w:rsidP="00455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5664" w14:textId="77777777" w:rsidR="00B2293C" w:rsidRDefault="00B22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B209" w14:textId="094BC957" w:rsidR="00B2293C" w:rsidRDefault="00B2293C" w:rsidP="00B2293C">
    <w:pPr>
      <w:pStyle w:val="Header"/>
      <w:jc w:val="right"/>
    </w:pPr>
  </w:p>
  <w:p w14:paraId="0AF5ECBF" w14:textId="77777777" w:rsidR="00B2293C" w:rsidRDefault="00B22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DC0F" w14:textId="630E304E" w:rsidR="00B2293C" w:rsidRDefault="00587A8E" w:rsidP="00587A8E">
    <w:pPr>
      <w:pStyle w:val="Header"/>
      <w:jc w:val="right"/>
    </w:pPr>
    <w:r>
      <w:rPr>
        <w:noProof/>
      </w:rPr>
      <w:drawing>
        <wp:inline distT="0" distB="0" distL="0" distR="0" wp14:anchorId="326001AB" wp14:editId="282CD517">
          <wp:extent cx="1741215" cy="61934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60598" cy="626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97ED0"/>
    <w:multiLevelType w:val="hybridMultilevel"/>
    <w:tmpl w:val="90C449A8"/>
    <w:lvl w:ilvl="0" w:tplc="14090001">
      <w:start w:val="1"/>
      <w:numFmt w:val="bullet"/>
      <w:lvlText w:val=""/>
      <w:lvlJc w:val="left"/>
      <w:pPr>
        <w:ind w:left="1490" w:hanging="360"/>
      </w:pPr>
      <w:rPr>
        <w:rFonts w:ascii="Symbol" w:hAnsi="Symbol" w:hint="default"/>
      </w:rPr>
    </w:lvl>
    <w:lvl w:ilvl="1" w:tplc="14090003" w:tentative="1">
      <w:start w:val="1"/>
      <w:numFmt w:val="bullet"/>
      <w:lvlText w:val="o"/>
      <w:lvlJc w:val="left"/>
      <w:pPr>
        <w:ind w:left="2210" w:hanging="360"/>
      </w:pPr>
      <w:rPr>
        <w:rFonts w:ascii="Courier New" w:hAnsi="Courier New" w:cs="Courier New" w:hint="default"/>
      </w:rPr>
    </w:lvl>
    <w:lvl w:ilvl="2" w:tplc="14090005" w:tentative="1">
      <w:start w:val="1"/>
      <w:numFmt w:val="bullet"/>
      <w:lvlText w:val=""/>
      <w:lvlJc w:val="left"/>
      <w:pPr>
        <w:ind w:left="2930" w:hanging="360"/>
      </w:pPr>
      <w:rPr>
        <w:rFonts w:ascii="Wingdings" w:hAnsi="Wingdings" w:hint="default"/>
      </w:rPr>
    </w:lvl>
    <w:lvl w:ilvl="3" w:tplc="14090001" w:tentative="1">
      <w:start w:val="1"/>
      <w:numFmt w:val="bullet"/>
      <w:lvlText w:val=""/>
      <w:lvlJc w:val="left"/>
      <w:pPr>
        <w:ind w:left="3650" w:hanging="360"/>
      </w:pPr>
      <w:rPr>
        <w:rFonts w:ascii="Symbol" w:hAnsi="Symbol" w:hint="default"/>
      </w:rPr>
    </w:lvl>
    <w:lvl w:ilvl="4" w:tplc="14090003" w:tentative="1">
      <w:start w:val="1"/>
      <w:numFmt w:val="bullet"/>
      <w:lvlText w:val="o"/>
      <w:lvlJc w:val="left"/>
      <w:pPr>
        <w:ind w:left="4370" w:hanging="360"/>
      </w:pPr>
      <w:rPr>
        <w:rFonts w:ascii="Courier New" w:hAnsi="Courier New" w:cs="Courier New" w:hint="default"/>
      </w:rPr>
    </w:lvl>
    <w:lvl w:ilvl="5" w:tplc="14090005" w:tentative="1">
      <w:start w:val="1"/>
      <w:numFmt w:val="bullet"/>
      <w:lvlText w:val=""/>
      <w:lvlJc w:val="left"/>
      <w:pPr>
        <w:ind w:left="5090" w:hanging="360"/>
      </w:pPr>
      <w:rPr>
        <w:rFonts w:ascii="Wingdings" w:hAnsi="Wingdings" w:hint="default"/>
      </w:rPr>
    </w:lvl>
    <w:lvl w:ilvl="6" w:tplc="14090001" w:tentative="1">
      <w:start w:val="1"/>
      <w:numFmt w:val="bullet"/>
      <w:lvlText w:val=""/>
      <w:lvlJc w:val="left"/>
      <w:pPr>
        <w:ind w:left="5810" w:hanging="360"/>
      </w:pPr>
      <w:rPr>
        <w:rFonts w:ascii="Symbol" w:hAnsi="Symbol" w:hint="default"/>
      </w:rPr>
    </w:lvl>
    <w:lvl w:ilvl="7" w:tplc="14090003" w:tentative="1">
      <w:start w:val="1"/>
      <w:numFmt w:val="bullet"/>
      <w:lvlText w:val="o"/>
      <w:lvlJc w:val="left"/>
      <w:pPr>
        <w:ind w:left="6530" w:hanging="360"/>
      </w:pPr>
      <w:rPr>
        <w:rFonts w:ascii="Courier New" w:hAnsi="Courier New" w:cs="Courier New" w:hint="default"/>
      </w:rPr>
    </w:lvl>
    <w:lvl w:ilvl="8" w:tplc="14090005" w:tentative="1">
      <w:start w:val="1"/>
      <w:numFmt w:val="bullet"/>
      <w:lvlText w:val=""/>
      <w:lvlJc w:val="left"/>
      <w:pPr>
        <w:ind w:left="7250" w:hanging="360"/>
      </w:pPr>
      <w:rPr>
        <w:rFonts w:ascii="Wingdings" w:hAnsi="Wingdings" w:hint="default"/>
      </w:rPr>
    </w:lvl>
  </w:abstractNum>
  <w:abstractNum w:abstractNumId="1" w15:restartNumberingAfterBreak="0">
    <w:nsid w:val="311F1F01"/>
    <w:multiLevelType w:val="hybridMultilevel"/>
    <w:tmpl w:val="4BBCF3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14A203A"/>
    <w:multiLevelType w:val="hybridMultilevel"/>
    <w:tmpl w:val="FA180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4E011B0"/>
    <w:multiLevelType w:val="hybridMultilevel"/>
    <w:tmpl w:val="73D4F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45A535E"/>
    <w:multiLevelType w:val="hybridMultilevel"/>
    <w:tmpl w:val="02B05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8FF4DAF"/>
    <w:multiLevelType w:val="hybridMultilevel"/>
    <w:tmpl w:val="0B6EC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BFF5B98"/>
    <w:multiLevelType w:val="hybridMultilevel"/>
    <w:tmpl w:val="9B58F23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7" w15:restartNumberingAfterBreak="0">
    <w:nsid w:val="6EEE60D7"/>
    <w:multiLevelType w:val="hybridMultilevel"/>
    <w:tmpl w:val="228E0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F096C55"/>
    <w:multiLevelType w:val="hybridMultilevel"/>
    <w:tmpl w:val="2F4E1EAE"/>
    <w:lvl w:ilvl="0" w:tplc="FEAE105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05B27E9"/>
    <w:multiLevelType w:val="hybridMultilevel"/>
    <w:tmpl w:val="94307B8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737C3E5E"/>
    <w:multiLevelType w:val="hybridMultilevel"/>
    <w:tmpl w:val="7CF05F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8B50EA9"/>
    <w:multiLevelType w:val="hybridMultilevel"/>
    <w:tmpl w:val="8DE8917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6"/>
  </w:num>
  <w:num w:numId="5">
    <w:abstractNumId w:val="10"/>
  </w:num>
  <w:num w:numId="6">
    <w:abstractNumId w:val="7"/>
  </w:num>
  <w:num w:numId="7">
    <w:abstractNumId w:val="2"/>
  </w:num>
  <w:num w:numId="8">
    <w:abstractNumId w:val="5"/>
  </w:num>
  <w:num w:numId="9">
    <w:abstractNumId w:val="4"/>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55958"/>
    <w:rsid w:val="0000293E"/>
    <w:rsid w:val="00025969"/>
    <w:rsid w:val="00042C23"/>
    <w:rsid w:val="00073237"/>
    <w:rsid w:val="000B08ED"/>
    <w:rsid w:val="000D47D1"/>
    <w:rsid w:val="000E4C4B"/>
    <w:rsid w:val="00160E90"/>
    <w:rsid w:val="00193C02"/>
    <w:rsid w:val="001D4BA0"/>
    <w:rsid w:val="002A4DBD"/>
    <w:rsid w:val="002C4769"/>
    <w:rsid w:val="002D0C34"/>
    <w:rsid w:val="002D3A43"/>
    <w:rsid w:val="0032260C"/>
    <w:rsid w:val="00356F03"/>
    <w:rsid w:val="003946C6"/>
    <w:rsid w:val="003A53B2"/>
    <w:rsid w:val="003A6D14"/>
    <w:rsid w:val="003B249B"/>
    <w:rsid w:val="00407258"/>
    <w:rsid w:val="0041456B"/>
    <w:rsid w:val="00455958"/>
    <w:rsid w:val="00461E0B"/>
    <w:rsid w:val="00476E23"/>
    <w:rsid w:val="004B093F"/>
    <w:rsid w:val="004E4AEC"/>
    <w:rsid w:val="00505072"/>
    <w:rsid w:val="005244CD"/>
    <w:rsid w:val="00587A8E"/>
    <w:rsid w:val="005F6FE8"/>
    <w:rsid w:val="00604566"/>
    <w:rsid w:val="00664C06"/>
    <w:rsid w:val="006831B6"/>
    <w:rsid w:val="0069231A"/>
    <w:rsid w:val="006A6AC9"/>
    <w:rsid w:val="006C2B91"/>
    <w:rsid w:val="006F169D"/>
    <w:rsid w:val="00772EB3"/>
    <w:rsid w:val="00774360"/>
    <w:rsid w:val="00785C4B"/>
    <w:rsid w:val="00786981"/>
    <w:rsid w:val="007C034A"/>
    <w:rsid w:val="007C2F6E"/>
    <w:rsid w:val="007E63F6"/>
    <w:rsid w:val="007F3BB5"/>
    <w:rsid w:val="008814FD"/>
    <w:rsid w:val="008E65EB"/>
    <w:rsid w:val="008F1ED5"/>
    <w:rsid w:val="00914261"/>
    <w:rsid w:val="00914AC7"/>
    <w:rsid w:val="00944B61"/>
    <w:rsid w:val="00970F1C"/>
    <w:rsid w:val="009A23B2"/>
    <w:rsid w:val="009E2988"/>
    <w:rsid w:val="009F0ECD"/>
    <w:rsid w:val="009F41E8"/>
    <w:rsid w:val="00A40501"/>
    <w:rsid w:val="00A90C9A"/>
    <w:rsid w:val="00B2293C"/>
    <w:rsid w:val="00B35231"/>
    <w:rsid w:val="00B623CD"/>
    <w:rsid w:val="00B72739"/>
    <w:rsid w:val="00BA2AA8"/>
    <w:rsid w:val="00BB0AAC"/>
    <w:rsid w:val="00BE0CE0"/>
    <w:rsid w:val="00C50CF7"/>
    <w:rsid w:val="00C66B24"/>
    <w:rsid w:val="00C92E5D"/>
    <w:rsid w:val="00CA574F"/>
    <w:rsid w:val="00CB0DEA"/>
    <w:rsid w:val="00CC596D"/>
    <w:rsid w:val="00D04258"/>
    <w:rsid w:val="00D069A4"/>
    <w:rsid w:val="00D4123A"/>
    <w:rsid w:val="00D41282"/>
    <w:rsid w:val="00D4226D"/>
    <w:rsid w:val="00D44DE6"/>
    <w:rsid w:val="00D64C22"/>
    <w:rsid w:val="00D905AB"/>
    <w:rsid w:val="00DA4B2E"/>
    <w:rsid w:val="00DA5490"/>
    <w:rsid w:val="00DE4905"/>
    <w:rsid w:val="00E01628"/>
    <w:rsid w:val="00E126E3"/>
    <w:rsid w:val="00E5636D"/>
    <w:rsid w:val="00E75268"/>
    <w:rsid w:val="00F11D8B"/>
    <w:rsid w:val="00F264F7"/>
    <w:rsid w:val="00F37603"/>
    <w:rsid w:val="00F40174"/>
    <w:rsid w:val="00F42854"/>
    <w:rsid w:val="00F77776"/>
    <w:rsid w:val="00FA296A"/>
    <w:rsid w:val="00FF24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86CCC"/>
  <w15:chartTrackingRefBased/>
  <w15:docId w15:val="{B1FFDD23-85E0-44B7-B808-AF7C43FC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958"/>
    <w:pPr>
      <w:ind w:left="720"/>
      <w:contextualSpacing/>
    </w:pPr>
  </w:style>
  <w:style w:type="character" w:styleId="CommentReference">
    <w:name w:val="annotation reference"/>
    <w:basedOn w:val="DefaultParagraphFont"/>
    <w:uiPriority w:val="99"/>
    <w:semiHidden/>
    <w:unhideWhenUsed/>
    <w:rsid w:val="00455958"/>
    <w:rPr>
      <w:sz w:val="16"/>
      <w:szCs w:val="16"/>
    </w:rPr>
  </w:style>
  <w:style w:type="paragraph" w:styleId="CommentText">
    <w:name w:val="annotation text"/>
    <w:basedOn w:val="Normal"/>
    <w:link w:val="CommentTextChar"/>
    <w:uiPriority w:val="99"/>
    <w:unhideWhenUsed/>
    <w:rsid w:val="00455958"/>
    <w:pPr>
      <w:spacing w:line="240" w:lineRule="auto"/>
    </w:pPr>
    <w:rPr>
      <w:sz w:val="20"/>
      <w:szCs w:val="20"/>
    </w:rPr>
  </w:style>
  <w:style w:type="character" w:customStyle="1" w:styleId="CommentTextChar">
    <w:name w:val="Comment Text Char"/>
    <w:basedOn w:val="DefaultParagraphFont"/>
    <w:link w:val="CommentText"/>
    <w:uiPriority w:val="99"/>
    <w:rsid w:val="00455958"/>
    <w:rPr>
      <w:sz w:val="20"/>
      <w:szCs w:val="20"/>
    </w:rPr>
  </w:style>
  <w:style w:type="paragraph" w:styleId="CommentSubject">
    <w:name w:val="annotation subject"/>
    <w:basedOn w:val="CommentText"/>
    <w:next w:val="CommentText"/>
    <w:link w:val="CommentSubjectChar"/>
    <w:uiPriority w:val="99"/>
    <w:semiHidden/>
    <w:unhideWhenUsed/>
    <w:rsid w:val="00455958"/>
    <w:rPr>
      <w:b/>
      <w:bCs/>
    </w:rPr>
  </w:style>
  <w:style w:type="character" w:customStyle="1" w:styleId="CommentSubjectChar">
    <w:name w:val="Comment Subject Char"/>
    <w:basedOn w:val="CommentTextChar"/>
    <w:link w:val="CommentSubject"/>
    <w:uiPriority w:val="99"/>
    <w:semiHidden/>
    <w:rsid w:val="00455958"/>
    <w:rPr>
      <w:b/>
      <w:bCs/>
      <w:sz w:val="20"/>
      <w:szCs w:val="20"/>
    </w:rPr>
  </w:style>
  <w:style w:type="paragraph" w:styleId="Header">
    <w:name w:val="header"/>
    <w:basedOn w:val="Normal"/>
    <w:link w:val="HeaderChar"/>
    <w:uiPriority w:val="99"/>
    <w:unhideWhenUsed/>
    <w:rsid w:val="00455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958"/>
  </w:style>
  <w:style w:type="paragraph" w:styleId="Footer">
    <w:name w:val="footer"/>
    <w:basedOn w:val="Normal"/>
    <w:link w:val="FooterChar"/>
    <w:uiPriority w:val="99"/>
    <w:unhideWhenUsed/>
    <w:rsid w:val="00455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958"/>
  </w:style>
  <w:style w:type="paragraph" w:customStyle="1" w:styleId="Default">
    <w:name w:val="Default"/>
    <w:rsid w:val="00455958"/>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45595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55958"/>
    <w:rPr>
      <w:rFonts w:ascii="Calibri" w:hAnsi="Calibri" w:cs="Calibri"/>
      <w:noProof/>
      <w:lang w:val="en-US"/>
    </w:rPr>
  </w:style>
  <w:style w:type="paragraph" w:customStyle="1" w:styleId="EndNoteBibliography">
    <w:name w:val="EndNote Bibliography"/>
    <w:basedOn w:val="Normal"/>
    <w:link w:val="EndNoteBibliographyChar"/>
    <w:rsid w:val="0045595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55958"/>
    <w:rPr>
      <w:rFonts w:ascii="Calibri" w:hAnsi="Calibri" w:cs="Calibri"/>
      <w:noProof/>
      <w:lang w:val="en-US"/>
    </w:rPr>
  </w:style>
  <w:style w:type="character" w:styleId="Hyperlink">
    <w:name w:val="Hyperlink"/>
    <w:basedOn w:val="DefaultParagraphFont"/>
    <w:uiPriority w:val="99"/>
    <w:unhideWhenUsed/>
    <w:rsid w:val="00455958"/>
    <w:rPr>
      <w:color w:val="0563C1" w:themeColor="hyperlink"/>
      <w:u w:val="single"/>
    </w:rPr>
  </w:style>
  <w:style w:type="character" w:styleId="UnresolvedMention">
    <w:name w:val="Unresolved Mention"/>
    <w:basedOn w:val="DefaultParagraphFont"/>
    <w:uiPriority w:val="99"/>
    <w:semiHidden/>
    <w:unhideWhenUsed/>
    <w:rsid w:val="00455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7/JXX.0000000000000566" TargetMode="External"/><Relationship Id="rId13" Type="http://schemas.openxmlformats.org/officeDocument/2006/relationships/hyperlink" Target="https://doi.org/10.1186/s12913-015-0731-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doi.org/10.36951/27034542.2022.01" TargetMode="External"/><Relationship Id="rId12" Type="http://schemas.openxmlformats.org/officeDocument/2006/relationships/hyperlink" Target="https://doi.org/10.1186/s12913-017-236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jan.15082" TargetMode="External"/><Relationship Id="rId5" Type="http://schemas.openxmlformats.org/officeDocument/2006/relationships/footnotes" Target="footnotes.xml"/><Relationship Id="rId15" Type="http://schemas.openxmlformats.org/officeDocument/2006/relationships/hyperlink" Target="https://doi.org/10.1097/ANS.0000000000000301" TargetMode="External"/><Relationship Id="rId23" Type="http://schemas.openxmlformats.org/officeDocument/2006/relationships/theme" Target="theme/theme1.xml"/><Relationship Id="rId10" Type="http://schemas.openxmlformats.org/officeDocument/2006/relationships/hyperlink" Target="https://doi.org/10.1016/j.colegn.2016.12.00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186/s12875-020-01318-3" TargetMode="External"/><Relationship Id="rId14" Type="http://schemas.openxmlformats.org/officeDocument/2006/relationships/hyperlink" Target="https://doi.org/10.1097/JXX.0000000000000158"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Adams</dc:creator>
  <cp:keywords/>
  <dc:description/>
  <cp:lastModifiedBy>Aimee Crawshaw</cp:lastModifiedBy>
  <cp:revision>5</cp:revision>
  <dcterms:created xsi:type="dcterms:W3CDTF">2022-11-01T22:06:00Z</dcterms:created>
  <dcterms:modified xsi:type="dcterms:W3CDTF">2022-11-03T03:14:00Z</dcterms:modified>
</cp:coreProperties>
</file>